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9CF0" w14:textId="77777777" w:rsidR="000677D5" w:rsidRPr="00FD7882" w:rsidRDefault="000677D5" w:rsidP="000677D5">
      <w:pPr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</w:pPr>
      <w:r w:rsidRPr="00FD7882"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  <w:t>02.08.2022</w:t>
      </w:r>
    </w:p>
    <w:p w14:paraId="0EEF5670" w14:textId="77777777" w:rsidR="000677D5" w:rsidRPr="000677D5" w:rsidRDefault="000677D5" w:rsidP="000677D5">
      <w:pPr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</w:pPr>
      <w:r w:rsidRPr="000677D5"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  <w:t>Vistas mensuales</w:t>
      </w:r>
    </w:p>
    <w:p w14:paraId="0ED3D1D8" w14:textId="77777777" w:rsidR="000677D5" w:rsidRPr="000677D5" w:rsidRDefault="000677D5" w:rsidP="000677D5">
      <w:pPr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</w:pPr>
      <w:r w:rsidRPr="000677D5">
        <w:rPr>
          <w:rFonts w:ascii="Arial" w:hAnsi="Arial" w:cs="Arial"/>
          <w:b/>
          <w:bCs/>
          <w:i/>
          <w:iCs/>
          <w:color w:val="1C1C1C"/>
          <w:sz w:val="28"/>
          <w:szCs w:val="28"/>
          <w:shd w:val="clear" w:color="auto" w:fill="FFFFFF"/>
        </w:rPr>
        <w:t xml:space="preserve">¿Por qué invertir ahora?  </w:t>
      </w:r>
    </w:p>
    <w:p w14:paraId="537D18E7" w14:textId="3F356C5C" w:rsidR="00D13C35" w:rsidRDefault="00D13C35"/>
    <w:p w14:paraId="7F8AD2F8" w14:textId="757B8C55" w:rsidR="000677D5" w:rsidRDefault="000677D5">
      <w:r>
        <w:rPr>
          <w:noProof/>
        </w:rPr>
        <w:drawing>
          <wp:inline distT="0" distB="0" distL="0" distR="0" wp14:anchorId="1FC381EE" wp14:editId="74F50617">
            <wp:extent cx="5400040" cy="866699"/>
            <wp:effectExtent l="0" t="0" r="0" b="0"/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/>
                  </pic:nvPicPr>
                  <pic:blipFill rotWithShape="1">
                    <a:blip r:embed="rId4"/>
                    <a:srcRect l="21342" t="39218" r="23448" b="43840"/>
                    <a:stretch/>
                  </pic:blipFill>
                  <pic:spPr bwMode="auto">
                    <a:xfrm>
                      <a:off x="0" y="0"/>
                      <a:ext cx="5400040" cy="866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A600ED" w14:textId="77777777" w:rsidR="000677D5" w:rsidRDefault="000677D5"/>
    <w:p w14:paraId="7BEE7C45" w14:textId="77777777" w:rsidR="000677D5" w:rsidRDefault="000677D5" w:rsidP="000677D5">
      <w:r>
        <w:t>A corto plazo</w:t>
      </w:r>
    </w:p>
    <w:p w14:paraId="072253EA" w14:textId="77777777" w:rsidR="000677D5" w:rsidRDefault="000677D5" w:rsidP="000677D5">
      <w:r>
        <w:t>selectividad y opcionalidad:</w:t>
      </w:r>
    </w:p>
    <w:p w14:paraId="4AF9DA66" w14:textId="77777777" w:rsidR="000677D5" w:rsidRDefault="000677D5" w:rsidP="000677D5">
      <w:r>
        <w:t>• Primero, inclinamos nuestra exposición a la renta variable hacia el valor, la calidad-ingresos y la atención médica.</w:t>
      </w:r>
    </w:p>
    <w:p w14:paraId="6E3C6334" w14:textId="77777777" w:rsidR="000677D5" w:rsidRDefault="000677D5" w:rsidP="000677D5">
      <w:r>
        <w:t>• En segundo lugar, en renta fija, movemos los bonos de alto grado, que probablemente se recuperarían bruscamente en un escenario de "depresión", de neutrales a los más preferidos.</w:t>
      </w:r>
    </w:p>
    <w:p w14:paraId="43DD696A" w14:textId="77777777" w:rsidR="000677D5" w:rsidRDefault="000677D5" w:rsidP="000677D5">
      <w:r>
        <w:t xml:space="preserve">• En tercer lugar, en divisas, mantenemos una postura más preferida sobre el franco suizo. A largo plazo </w:t>
      </w:r>
    </w:p>
    <w:p w14:paraId="2021D3A3" w14:textId="77777777" w:rsidR="000677D5" w:rsidRDefault="000677D5" w:rsidP="000677D5">
      <w:r>
        <w:t>La combinación de valoraciones de acciones, rendimientos y cosechas de capital privado recientemente creadas significará rendimientos a largo plazo más fuertes para carteras diversificadas</w:t>
      </w:r>
    </w:p>
    <w:p w14:paraId="3D937990" w14:textId="009B1C86" w:rsidR="000677D5" w:rsidRDefault="000677D5" w:rsidP="000677D5"/>
    <w:p w14:paraId="0E85C116" w14:textId="77777777" w:rsidR="000677D5" w:rsidRDefault="000677D5" w:rsidP="000677D5">
      <w:r>
        <w:t>**Por lo tanto, si bien las perspectivas a corto plazo para la renta variable pueden ser inciertas, creemos que las carteras diversificadas deberían ofrecer resultados más estables en los próximos meses, dados los escenarios de mercado a los que nos enfrentamos.</w:t>
      </w:r>
    </w:p>
    <w:p w14:paraId="3C4D2B61" w14:textId="77777777" w:rsidR="000677D5" w:rsidRDefault="000677D5" w:rsidP="000677D5">
      <w:r>
        <w:t>Al comprar carteras diversificadas hoy, creemos que los inversores pueden mitigar los riesgos a corto plazo y posicionarse para el rendimiento a largo plazo, sin correr el riesgo de quedarse, potencialmente indefinidamente, al margen.</w:t>
      </w:r>
    </w:p>
    <w:p w14:paraId="487D8DA9" w14:textId="77777777" w:rsidR="000677D5" w:rsidRDefault="000677D5" w:rsidP="000677D5">
      <w:r>
        <w:t>la inflación se reduce a alrededor del 4%. También se espera que la economía global se ajuste rápidamente al entorno cambiante, con un crecimiento reducido que comienza a afectar el mercado laboral a medida que las empresas reducen sus intenciones de contratación.</w:t>
      </w:r>
    </w:p>
    <w:p w14:paraId="13B06DE1" w14:textId="77777777" w:rsidR="000677D5" w:rsidRDefault="000677D5" w:rsidP="000677D5">
      <w:r>
        <w:t>China fue el área preferida de inversión entre los mercados emergentes.</w:t>
      </w:r>
    </w:p>
    <w:p w14:paraId="65E063CD" w14:textId="77777777" w:rsidR="000677D5" w:rsidRPr="000677D5" w:rsidRDefault="000677D5" w:rsidP="000677D5">
      <w:r w:rsidRPr="000677D5">
        <w:t xml:space="preserve">Los </w:t>
      </w:r>
      <w:proofErr w:type="spellStart"/>
      <w:r w:rsidRPr="000677D5">
        <w:t>nelists</w:t>
      </w:r>
      <w:proofErr w:type="spellEnd"/>
      <w:r w:rsidRPr="000677D5">
        <w:t xml:space="preserve"> abogaron por una cartera defensiva para navegar por el incierto entorno económico. A nivel regional, algunos panelistas identificaron oportunidades de inversión en estrategias europeas de valor y altos dividendos, al tiempo que recomendaron coberturas contra la inflación como el oro o los bienes raíces. En renta fija, los bonos de grado de inversión se consideraron una buena posición defensiva, mientras que algunos participantes </w:t>
      </w:r>
      <w:r w:rsidRPr="000677D5">
        <w:lastRenderedPageBreak/>
        <w:t>mostraron interés en el crédito de alto rendimiento, dadas las recientes valoraciones más baratas.</w:t>
      </w:r>
    </w:p>
    <w:p w14:paraId="59A1FDBF" w14:textId="77777777" w:rsidR="000677D5" w:rsidRDefault="000677D5" w:rsidP="000677D5"/>
    <w:sectPr w:rsidR="0006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D5"/>
    <w:rsid w:val="000677D5"/>
    <w:rsid w:val="00D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3CA3"/>
  <w15:chartTrackingRefBased/>
  <w15:docId w15:val="{78A2A93B-A320-4F7F-8B9F-D776699E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Arwa Halawa</dc:creator>
  <cp:keywords/>
  <dc:description/>
  <cp:lastModifiedBy>Arwa Halawa</cp:lastModifiedBy>
  <cp:revision>1</cp:revision>
  <dcterms:created xsi:type="dcterms:W3CDTF">2022-08-02T15:58:00Z</dcterms:created>
  <dcterms:modified xsi:type="dcterms:W3CDTF">2022-08-02T16:06:00Z</dcterms:modified>
</cp:coreProperties>
</file>